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>
        <w:trPr>
          <w:trHeight w:val="113"/>
        </w:trPr>
        <w:tc>
          <w:tcPr>
            <w:tcW w:w="153" w:type="dxa"/>
            <w:textDirection w:val="lrTb"/>
            <w:noWrap w:val="false"/>
          </w:tcPr>
          <w:p>
            <w:pPr>
              <w:pStyle w:val="627"/>
              <w:jc w:val="both"/>
            </w:pPr>
            <w:r/>
            <w:r/>
          </w:p>
        </w:tc>
        <w:tc>
          <w:tcPr>
            <w:tcW w:w="9050" w:type="dxa"/>
            <w:textDirection w:val="lrTb"/>
            <w:noWrap w:val="false"/>
          </w:tcPr>
          <w:p>
            <w:pPr>
              <w:pStyle w:val="627"/>
              <w:jc w:val="both"/>
            </w:pPr>
            <w:r/>
            <w:r/>
          </w:p>
        </w:tc>
        <w:tc>
          <w:tcPr>
            <w:tcW w:w="166" w:type="dxa"/>
            <w:textDirection w:val="lrTb"/>
            <w:noWrap w:val="false"/>
          </w:tcPr>
          <w:p>
            <w:pPr>
              <w:pStyle w:val="627"/>
              <w:jc w:val="both"/>
            </w:pPr>
            <w:r/>
            <w:r/>
          </w:p>
        </w:tc>
      </w:tr>
      <w:tr>
        <w:trPr>
          <w:trHeight w:val="10410"/>
        </w:trPr>
        <w:tc>
          <w:tcPr>
            <w:tcW w:w="153" w:type="dxa"/>
            <w:textDirection w:val="lrTb"/>
            <w:noWrap w:val="false"/>
          </w:tcPr>
          <w:p>
            <w:pPr>
              <w:pStyle w:val="627"/>
              <w:jc w:val="both"/>
            </w:pPr>
            <w:r/>
            <w:r/>
          </w:p>
        </w:tc>
        <w:tc>
          <w:tcPr>
            <w:tcW w:w="9050" w:type="dxa"/>
            <w:textDirection w:val="lrTb"/>
            <w:noWrap w:val="false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>
              <w:trPr>
                <w:trHeight w:val="10332"/>
              </w:trPr>
              <w:tc>
                <w:tcPr>
                  <w:tcMar>
                    <w:left w:w="39" w:type="dxa"/>
                    <w:top w:w="39" w:type="dxa"/>
                    <w:right w:w="39" w:type="dxa"/>
                    <w:bottom w:w="39" w:type="dxa"/>
                  </w:tcMar>
                  <w:tcW w:w="905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Научный сотрудник в подразделение «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лаборатория социальной и когнитивной информатики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постдоков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)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от 110 000 рублей до вычета НДФЛ 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Национальный исследовательский университет «Высшая школа экономики»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Санкт-Петербург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</w:rPr>
                    <w:t xml:space="preserve"> 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Требуемый опыт работы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: не менее 3-х лет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Полная занятость, полный день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Срок работы: 1 год с возможностью продления на второй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</w:rPr>
                    <w:t xml:space="preserve"> 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Высшая школа экономики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тся более 47 000 студентов и аспирантов, работает более 7000 преподавателей, ученых и административных сотрудников.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постдоков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постдока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 (научного со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трудника) в подразделение «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лаборатория социальной и когнитивной информатики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».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Название проекта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: 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Онлайн-оффлайн обучение: факторы удовлетворенности студентов форматом обучения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.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В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 ходе количественного анализа данных (с использованием ПО для ст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атистического моделирования, например,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R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/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Python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/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SPSS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/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Stata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etc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.) установить связи между различными аспектами, связанными с типом обучения студентов (онлайн/оффлайн), и удовлетворенностью студентов.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rFonts w:ascii="Arial" w:hAnsi="Arial" w:eastAsia="Arial"/>
                      <w:b/>
                      <w:sz w:val="24"/>
                      <w:lang w:val="ru-RU"/>
                    </w:rPr>
                  </w:pP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Можно определить три главные за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дачи, на решение которых направлен проект: выявление предикторов выбора онлайн-формата, изучение влияния формата на коммуникацию студентов, а также поиск предикторов удовлетворенности форматом обучения.</w:t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Что мы ждем от успешных кандидатов на данную должнос</w:t>
                  </w:r>
                  <w:r>
                    <w:rPr>
                      <w:rFonts w:ascii="Arial" w:hAnsi="Arial" w:eastAsia="Arial"/>
                      <w:b/>
                      <w:sz w:val="24"/>
                      <w:lang w:val="ru-RU"/>
                    </w:rPr>
                    <w:t xml:space="preserve">ть:</w:t>
                  </w:r>
                  <w:r>
                    <w:rPr>
                      <w:lang w:val="ru-RU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>
                    <w:rPr>
                      <w:rFonts w:ascii="Arial" w:hAnsi="Arial" w:eastAsia="Arial"/>
                      <w:sz w:val="24"/>
                    </w:rPr>
                    <w:t xml:space="preserve">Российское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гражданство</w:t>
                  </w:r>
                  <w:r/>
                </w:p>
                <w:p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PhD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)</w:t>
                  </w:r>
                  <w:r>
                    <w:rPr>
                      <w:lang w:val="ru-RU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Компетенции в области количественных исследований, владение навыками анализа и статистической обработки в специализированных 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программах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R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/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Python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/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SPSS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/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Stata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etc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. на продвинутом уровне, наличие публикаций в журналах, индексируемых в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WOS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 / </w:t>
                  </w:r>
                  <w:r>
                    <w:rPr>
                      <w:rFonts w:ascii="Arial" w:hAnsi="Arial" w:eastAsia="Arial"/>
                      <w:sz w:val="24"/>
                    </w:rPr>
                    <w:t xml:space="preserve">SCOPUS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 / РИНЦ на русском языке (на английском как преимущество).</w:t>
                  </w:r>
                  <w:r>
                    <w:rPr>
                      <w:lang w:val="ru-RU"/>
                    </w:rPr>
                  </w:r>
                </w:p>
                <w:p>
                  <w:pPr>
                    <w:ind w:left="359" w:hanging="359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eastAsia="Arial"/>
                      <w:b/>
                      <w:sz w:val="24"/>
                    </w:rPr>
                    <w:t xml:space="preserve">Что</w:t>
                  </w:r>
                  <w:r>
                    <w:rPr>
                      <w:rFonts w:ascii="Arial" w:hAnsi="Arial" w:eastAsia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sz w:val="24"/>
                    </w:rPr>
                    <w:t xml:space="preserve">мы</w:t>
                  </w:r>
                  <w:r>
                    <w:rPr>
                      <w:rFonts w:ascii="Arial" w:hAnsi="Arial" w:eastAsia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sz w:val="24"/>
                    </w:rPr>
                    <w:t xml:space="preserve">предлагаем</w:t>
                  </w:r>
                  <w:r>
                    <w:rPr>
                      <w:rFonts w:ascii="Arial" w:hAnsi="Arial" w:eastAsia="Arial"/>
                      <w:b/>
                      <w:sz w:val="24"/>
                    </w:rPr>
                    <w:t xml:space="preserve">: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Наличие оборудованного рабочего места в университете</w:t>
                  </w:r>
                  <w:bookmarkStart w:id="0" w:name="_GoBack"/>
                  <w:r/>
                  <w:bookmarkEnd w:id="0"/>
                  <w:r/>
                  <w:r>
                    <w:rPr>
                      <w:lang w:val="ru-RU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Досту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п к информационным ресурсам, базам данных и электронным подпискам НИУ ВШЭ</w:t>
                  </w:r>
                  <w:r>
                    <w:rPr>
                      <w:lang w:val="ru-RU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Участие в научных и образовательных мероприятиях и программах НИУ ВШЭ для научного продвижения и развития карьеры</w:t>
                  </w:r>
                  <w:r>
                    <w:rPr>
                      <w:lang w:val="ru-RU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Работа с известными специалистами в предметной области в международн</w:t>
                  </w: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ом и междисциплинарном исследовательском коллективе</w:t>
                  </w:r>
                  <w:r>
                    <w:rPr>
                      <w:lang w:val="ru-RU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eastAsia="Arial"/>
                      <w:sz w:val="24"/>
                      <w:lang w:val="ru-RU"/>
                    </w:rPr>
                    <w:t xml:space="preserve">Участие в программах повышения квалификации НИУ ВШЭ</w:t>
                  </w:r>
                  <w:r>
                    <w:rPr>
                      <w:lang w:val="ru-RU"/>
                    </w:rPr>
                  </w:r>
                </w:p>
              </w:tc>
            </w:tr>
          </w:tbl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66" w:type="dxa"/>
            <w:textDirection w:val="lrTb"/>
            <w:noWrap w:val="false"/>
          </w:tcPr>
          <w:p>
            <w:pPr>
              <w:pStyle w:val="62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306"/>
        </w:trPr>
        <w:tc>
          <w:tcPr>
            <w:tcW w:w="153" w:type="dxa"/>
            <w:textDirection w:val="lrTb"/>
            <w:noWrap w:val="false"/>
          </w:tcPr>
          <w:p>
            <w:pPr>
              <w:pStyle w:val="62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9050" w:type="dxa"/>
            <w:textDirection w:val="lrTb"/>
            <w:noWrap w:val="false"/>
          </w:tcPr>
          <w:p>
            <w:pPr>
              <w:pStyle w:val="62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66" w:type="dxa"/>
            <w:textDirection w:val="lrTb"/>
            <w:noWrap w:val="false"/>
          </w:tcPr>
          <w:p>
            <w:pPr>
              <w:pStyle w:val="62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jc w:val="both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5" w:h="16837" w:orient="portrait"/>
      <w:pgMar w:top="1133" w:right="1133" w:bottom="1133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/>
      <w:rPr>
        <w:rFonts w:ascii="Symbol" w:hAnsi="Symbol" w:eastAsia="Symbol" w:cs="Symbol"/>
        <w:sz w:val="20"/>
      </w:rPr>
    </w:lvl>
    <w:lvl w:ilvl="1">
      <w:start w:val="1"/>
      <w:numFmt w:val="lowerRoman"/>
      <w:isLgl w:val="false"/>
      <w:suff w:val="tab"/>
      <w:lvlText w:val="%2."/>
      <w:lvlJc w:val="left"/>
      <w:pPr/>
      <w:rPr>
        <w:rFonts w:ascii="Arial" w:hAnsi="Arial" w:eastAsia="Arial" w:cs="Arial"/>
        <w:sz w:val="20"/>
      </w:rPr>
    </w:lvl>
    <w:lvl w:ilvl="2">
      <w:start w:val="1"/>
      <w:numFmt w:val="lowerLetter"/>
      <w:isLgl w:val="false"/>
      <w:suff w:val="tab"/>
      <w:lvlText w:val="%3."/>
      <w:lvlJc w:val="left"/>
      <w:pPr/>
      <w:rPr>
        <w:rFonts w:ascii="Arial" w:hAnsi="Arial" w:eastAsia="Arial" w:cs="Arial"/>
        <w:sz w:val="20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ascii="Arial" w:hAnsi="Arial" w:eastAsia="Arial" w:cs="Arial"/>
        <w:sz w:val="20"/>
      </w:rPr>
    </w:lvl>
    <w:lvl w:ilvl="4">
      <w:start w:val="1"/>
      <w:numFmt w:val="lowerRoman"/>
      <w:isLgl w:val="false"/>
      <w:suff w:val="tab"/>
      <w:lvlText w:val="%5."/>
      <w:lvlJc w:val="left"/>
      <w:pPr/>
      <w:rPr>
        <w:rFonts w:ascii="Arial" w:hAnsi="Arial" w:eastAsia="Arial" w:cs="Arial"/>
        <w:sz w:val="20"/>
      </w:rPr>
    </w:lvl>
    <w:lvl w:ilvl="5">
      <w:start w:val="1"/>
      <w:numFmt w:val="lowerLetter"/>
      <w:isLgl w:val="false"/>
      <w:suff w:val="tab"/>
      <w:lvlText w:val="%6."/>
      <w:lvlJc w:val="left"/>
      <w:pPr/>
      <w:rPr>
        <w:rFonts w:ascii="Arial" w:hAnsi="Arial" w:eastAsia="Arial" w:cs="Arial"/>
        <w:sz w:val="20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ascii="Arial" w:hAnsi="Arial" w:eastAsia="Arial" w:cs="Arial"/>
        <w:sz w:val="20"/>
      </w:rPr>
    </w:lvl>
    <w:lvl w:ilvl="7">
      <w:start w:val="1"/>
      <w:numFmt w:val="lowerRoman"/>
      <w:isLgl w:val="false"/>
      <w:suff w:val="tab"/>
      <w:lvlText w:val="%8."/>
      <w:lvlJc w:val="left"/>
      <w:pPr/>
      <w:rPr>
        <w:rFonts w:ascii="Arial" w:hAnsi="Arial" w:eastAsia="Arial" w:cs="Arial"/>
        <w:sz w:val="20"/>
      </w:rPr>
    </w:lvl>
    <w:lvl w:ilvl="8">
      <w:start w:val="1"/>
      <w:numFmt w:val="lowerLetter"/>
      <w:isLgl w:val="false"/>
      <w:suff w:val="tab"/>
      <w:lvlText w:val="%9."/>
      <w:lvlJc w:val="left"/>
      <w:pPr/>
      <w:rPr>
        <w:rFonts w:ascii="Arial" w:hAnsi="Arial" w:eastAsia="Arial" w:cs="Arial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/>
      <w:rPr>
        <w:rFonts w:ascii="Symbol" w:hAnsi="Symbol" w:eastAsia="Symbol" w:cs="Symbol"/>
        <w:sz w:val="20"/>
      </w:rPr>
    </w:lvl>
    <w:lvl w:ilvl="1">
      <w:start w:val="1"/>
      <w:numFmt w:val="lowerRoman"/>
      <w:isLgl w:val="false"/>
      <w:suff w:val="tab"/>
      <w:lvlText w:val="%2."/>
      <w:lvlJc w:val="left"/>
      <w:pPr/>
      <w:rPr>
        <w:rFonts w:ascii="Arial" w:hAnsi="Arial" w:eastAsia="Arial" w:cs="Arial"/>
        <w:sz w:val="20"/>
      </w:rPr>
    </w:lvl>
    <w:lvl w:ilvl="2">
      <w:start w:val="1"/>
      <w:numFmt w:val="lowerLetter"/>
      <w:isLgl w:val="false"/>
      <w:suff w:val="tab"/>
      <w:lvlText w:val="%3."/>
      <w:lvlJc w:val="left"/>
      <w:pPr/>
      <w:rPr>
        <w:rFonts w:ascii="Arial" w:hAnsi="Arial" w:eastAsia="Arial" w:cs="Arial"/>
        <w:sz w:val="20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ascii="Arial" w:hAnsi="Arial" w:eastAsia="Arial" w:cs="Arial"/>
        <w:sz w:val="20"/>
      </w:rPr>
    </w:lvl>
    <w:lvl w:ilvl="4">
      <w:start w:val="1"/>
      <w:numFmt w:val="lowerRoman"/>
      <w:isLgl w:val="false"/>
      <w:suff w:val="tab"/>
      <w:lvlText w:val="%5."/>
      <w:lvlJc w:val="left"/>
      <w:pPr/>
      <w:rPr>
        <w:rFonts w:ascii="Arial" w:hAnsi="Arial" w:eastAsia="Arial" w:cs="Arial"/>
        <w:sz w:val="20"/>
      </w:rPr>
    </w:lvl>
    <w:lvl w:ilvl="5">
      <w:start w:val="1"/>
      <w:numFmt w:val="lowerLetter"/>
      <w:isLgl w:val="false"/>
      <w:suff w:val="tab"/>
      <w:lvlText w:val="%6."/>
      <w:lvlJc w:val="left"/>
      <w:pPr/>
      <w:rPr>
        <w:rFonts w:ascii="Arial" w:hAnsi="Arial" w:eastAsia="Arial" w:cs="Arial"/>
        <w:sz w:val="20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ascii="Arial" w:hAnsi="Arial" w:eastAsia="Arial" w:cs="Arial"/>
        <w:sz w:val="20"/>
      </w:rPr>
    </w:lvl>
    <w:lvl w:ilvl="7">
      <w:start w:val="1"/>
      <w:numFmt w:val="lowerRoman"/>
      <w:isLgl w:val="false"/>
      <w:suff w:val="tab"/>
      <w:lvlText w:val="%8."/>
      <w:lvlJc w:val="left"/>
      <w:pPr/>
      <w:rPr>
        <w:rFonts w:ascii="Arial" w:hAnsi="Arial" w:eastAsia="Arial" w:cs="Arial"/>
        <w:sz w:val="20"/>
      </w:rPr>
    </w:lvl>
    <w:lvl w:ilvl="8">
      <w:start w:val="1"/>
      <w:numFmt w:val="lowerLetter"/>
      <w:isLgl w:val="false"/>
      <w:suff w:val="tab"/>
      <w:lvlText w:val="%9."/>
      <w:lvlJc w:val="left"/>
      <w:pPr/>
      <w:rPr>
        <w:rFonts w:ascii="Arial" w:hAnsi="Arial" w:eastAsia="Arial" w:cs="Arial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/>
      <w:rPr>
        <w:rFonts w:ascii="Symbol" w:hAnsi="Symbol" w:eastAsia="Symbol" w:cs="Symbol"/>
        <w:sz w:val="20"/>
      </w:rPr>
    </w:lvl>
    <w:lvl w:ilvl="1">
      <w:start w:val="1"/>
      <w:numFmt w:val="lowerRoman"/>
      <w:isLgl w:val="false"/>
      <w:suff w:val="tab"/>
      <w:lvlText w:val="%2."/>
      <w:lvlJc w:val="left"/>
      <w:pPr/>
      <w:rPr>
        <w:rFonts w:ascii="Arial" w:hAnsi="Arial" w:eastAsia="Arial" w:cs="Arial"/>
        <w:sz w:val="20"/>
      </w:rPr>
    </w:lvl>
    <w:lvl w:ilvl="2">
      <w:start w:val="1"/>
      <w:numFmt w:val="lowerLetter"/>
      <w:isLgl w:val="false"/>
      <w:suff w:val="tab"/>
      <w:lvlText w:val="%3."/>
      <w:lvlJc w:val="left"/>
      <w:pPr/>
      <w:rPr>
        <w:rFonts w:ascii="Arial" w:hAnsi="Arial" w:eastAsia="Arial" w:cs="Arial"/>
        <w:sz w:val="20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ascii="Arial" w:hAnsi="Arial" w:eastAsia="Arial" w:cs="Arial"/>
        <w:sz w:val="20"/>
      </w:rPr>
    </w:lvl>
    <w:lvl w:ilvl="4">
      <w:start w:val="1"/>
      <w:numFmt w:val="lowerRoman"/>
      <w:isLgl w:val="false"/>
      <w:suff w:val="tab"/>
      <w:lvlText w:val="%5."/>
      <w:lvlJc w:val="left"/>
      <w:pPr/>
      <w:rPr>
        <w:rFonts w:ascii="Arial" w:hAnsi="Arial" w:eastAsia="Arial" w:cs="Arial"/>
        <w:sz w:val="20"/>
      </w:rPr>
    </w:lvl>
    <w:lvl w:ilvl="5">
      <w:start w:val="1"/>
      <w:numFmt w:val="lowerLetter"/>
      <w:isLgl w:val="false"/>
      <w:suff w:val="tab"/>
      <w:lvlText w:val="%6."/>
      <w:lvlJc w:val="left"/>
      <w:pPr/>
      <w:rPr>
        <w:rFonts w:ascii="Arial" w:hAnsi="Arial" w:eastAsia="Arial" w:cs="Arial"/>
        <w:sz w:val="20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ascii="Arial" w:hAnsi="Arial" w:eastAsia="Arial" w:cs="Arial"/>
        <w:sz w:val="20"/>
      </w:rPr>
    </w:lvl>
    <w:lvl w:ilvl="7">
      <w:start w:val="1"/>
      <w:numFmt w:val="lowerRoman"/>
      <w:isLgl w:val="false"/>
      <w:suff w:val="tab"/>
      <w:lvlText w:val="%8."/>
      <w:lvlJc w:val="left"/>
      <w:pPr/>
      <w:rPr>
        <w:rFonts w:ascii="Arial" w:hAnsi="Arial" w:eastAsia="Arial" w:cs="Arial"/>
        <w:sz w:val="20"/>
      </w:rPr>
    </w:lvl>
    <w:lvl w:ilvl="8">
      <w:start w:val="1"/>
      <w:numFmt w:val="lowerLetter"/>
      <w:isLgl w:val="false"/>
      <w:suff w:val="tab"/>
      <w:lvlText w:val="%9."/>
      <w:lvlJc w:val="left"/>
      <w:pPr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  <w:rPr>
      <w:lang w:val="en-US" w:eastAsia="en-US"/>
    </w:rPr>
  </w:style>
  <w:style w:type="character" w:styleId="624" w:default="1">
    <w:name w:val="Default Paragraph Font"/>
    <w:semiHidden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 w:customStyle="1">
    <w:name w:val="EmptyLayoutCell"/>
    <w:basedOn w:val="623"/>
    <w:rPr>
      <w:sz w:val="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НИУ ВШЭ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Кристина Саакова</cp:lastModifiedBy>
  <cp:revision>3</cp:revision>
  <dcterms:created xsi:type="dcterms:W3CDTF">2024-03-20T13:05:00Z</dcterms:created>
  <dcterms:modified xsi:type="dcterms:W3CDTF">2024-03-20T13:42:26Z</dcterms:modified>
</cp:coreProperties>
</file>