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Call for Papers</w:t>
      </w:r>
    </w:p>
    <w:p w:rsidR="00000000" w:rsidDel="00000000" w:rsidP="00000000" w:rsidRDefault="00000000" w:rsidRPr="00000000" w14:paraId="00000002">
      <w:pPr>
        <w:spacing w:after="240" w:befor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ICA Regional Conference 2022</w:t>
      </w:r>
    </w:p>
    <w:p w:rsidR="00000000" w:rsidDel="00000000" w:rsidP="00000000" w:rsidRDefault="00000000" w:rsidRPr="00000000" w14:paraId="00000003">
      <w:pPr>
        <w:spacing w:after="240" w:before="240" w:lineRule="auto"/>
        <w:jc w:val="center"/>
        <w:rPr>
          <w:rFonts w:ascii="Arial" w:cs="Arial" w:eastAsia="Arial" w:hAnsi="Arial"/>
          <w:b w:val="1"/>
          <w:color w:val="1155cc"/>
          <w:sz w:val="22"/>
          <w:szCs w:val="22"/>
          <w:u w:val="single"/>
        </w:rPr>
      </w:pPr>
      <w:hyperlink r:id="rId7">
        <w:r w:rsidDel="00000000" w:rsidR="00000000" w:rsidRPr="00000000">
          <w:rPr>
            <w:rFonts w:ascii="Arial" w:cs="Arial" w:eastAsia="Arial" w:hAnsi="Arial"/>
            <w:b w:val="1"/>
            <w:color w:val="1155cc"/>
            <w:sz w:val="22"/>
            <w:szCs w:val="22"/>
            <w:u w:val="single"/>
            <w:rtl w:val="0"/>
          </w:rPr>
          <w:t xml:space="preserve">Computational Communication Research in Central and Eastern Europe</w:t>
        </w:r>
      </w:hyperlink>
      <w:r w:rsidDel="00000000" w:rsidR="00000000" w:rsidRPr="00000000">
        <w:rPr>
          <w:rtl w:val="0"/>
        </w:rPr>
      </w:r>
    </w:p>
    <w:p w:rsidR="00000000" w:rsidDel="00000000" w:rsidP="00000000" w:rsidRDefault="00000000" w:rsidRPr="00000000" w14:paraId="00000004">
      <w:pPr>
        <w:spacing w:after="240" w:befor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Saint Petersburg, Russia, or virtually, June 27-29, 2022 (Dates and format tentative)</w:t>
      </w:r>
    </w:p>
    <w:p w:rsidR="00000000" w:rsidDel="00000000" w:rsidP="00000000" w:rsidRDefault="00000000" w:rsidRPr="00000000" w14:paraId="00000005">
      <w:pPr>
        <w:spacing w:after="240" w:before="240" w:lineRule="auto"/>
        <w:jc w:val="center"/>
        <w:rPr>
          <w:rFonts w:ascii="Arial" w:cs="Arial" w:eastAsia="Arial" w:hAnsi="Arial"/>
          <w:b w:val="1"/>
          <w:sz w:val="22"/>
          <w:szCs w:val="22"/>
          <w:u w:val="single"/>
        </w:rPr>
      </w:pPr>
      <w:r w:rsidDel="00000000" w:rsidR="00000000" w:rsidRPr="00000000">
        <w:rPr>
          <w:rFonts w:ascii="Arial" w:cs="Arial" w:eastAsia="Arial" w:hAnsi="Arial"/>
          <w:b w:val="1"/>
          <w:sz w:val="22"/>
          <w:szCs w:val="22"/>
          <w:rtl w:val="0"/>
        </w:rPr>
        <w:t xml:space="preserve">Deadline for abstracts, posters, and panels: </w:t>
      </w:r>
      <w:r w:rsidDel="00000000" w:rsidR="00000000" w:rsidRPr="00000000">
        <w:rPr>
          <w:rFonts w:ascii="Arial" w:cs="Arial" w:eastAsia="Arial" w:hAnsi="Arial"/>
          <w:b w:val="1"/>
          <w:sz w:val="22"/>
          <w:szCs w:val="22"/>
          <w:u w:val="single"/>
          <w:rtl w:val="0"/>
        </w:rPr>
        <w:t xml:space="preserve">December 25, 2021</w:t>
      </w:r>
    </w:p>
    <w:p w:rsidR="00000000" w:rsidDel="00000000" w:rsidP="00000000" w:rsidRDefault="00000000" w:rsidRPr="00000000" w14:paraId="00000006">
      <w:pPr>
        <w:spacing w:after="240" w:befor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The International Communication Association regional conference on Computational Communication Research in Central and Eastern Europe will take place on June 27-29, 2022, in St. Petersburg, Russia, or online, depending on the public health situation and availability of travel. The conference is organized by the</w:t>
      </w:r>
      <w:hyperlink r:id="rId8">
        <w:r w:rsidDel="00000000" w:rsidR="00000000" w:rsidRPr="00000000">
          <w:rPr>
            <w:rFonts w:ascii="Arial" w:cs="Arial" w:eastAsia="Arial" w:hAnsi="Arial"/>
            <w:sz w:val="21"/>
            <w:szCs w:val="21"/>
            <w:rtl w:val="0"/>
          </w:rPr>
          <w:t xml:space="preserve"> </w:t>
        </w:r>
      </w:hyperlink>
      <w:hyperlink r:id="rId9">
        <w:r w:rsidDel="00000000" w:rsidR="00000000" w:rsidRPr="00000000">
          <w:rPr>
            <w:rFonts w:ascii="Arial" w:cs="Arial" w:eastAsia="Arial" w:hAnsi="Arial"/>
            <w:color w:val="1155cc"/>
            <w:sz w:val="21"/>
            <w:szCs w:val="21"/>
            <w:u w:val="single"/>
            <w:rtl w:val="0"/>
          </w:rPr>
          <w:t xml:space="preserve">Laboratory for social and cognitive informatics</w:t>
        </w:r>
      </w:hyperlink>
      <w:r w:rsidDel="00000000" w:rsidR="00000000" w:rsidRPr="00000000">
        <w:rPr>
          <w:rFonts w:ascii="Arial" w:cs="Arial" w:eastAsia="Arial" w:hAnsi="Arial"/>
          <w:sz w:val="21"/>
          <w:szCs w:val="21"/>
          <w:rtl w:val="0"/>
        </w:rPr>
        <w:t xml:space="preserve">, part of the St. Petersburg campus of</w:t>
      </w:r>
      <w:hyperlink r:id="rId10">
        <w:r w:rsidDel="00000000" w:rsidR="00000000" w:rsidRPr="00000000">
          <w:rPr>
            <w:rFonts w:ascii="Arial" w:cs="Arial" w:eastAsia="Arial" w:hAnsi="Arial"/>
            <w:sz w:val="21"/>
            <w:szCs w:val="21"/>
            <w:rtl w:val="0"/>
          </w:rPr>
          <w:t xml:space="preserve"> </w:t>
        </w:r>
      </w:hyperlink>
      <w:hyperlink r:id="rId11">
        <w:r w:rsidDel="00000000" w:rsidR="00000000" w:rsidRPr="00000000">
          <w:rPr>
            <w:rFonts w:ascii="Arial" w:cs="Arial" w:eastAsia="Arial" w:hAnsi="Arial"/>
            <w:color w:val="1155cc"/>
            <w:sz w:val="21"/>
            <w:szCs w:val="21"/>
            <w:u w:val="single"/>
            <w:rtl w:val="0"/>
          </w:rPr>
          <w:t xml:space="preserve">HSE University</w:t>
        </w:r>
      </w:hyperlink>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07">
      <w:pPr>
        <w:spacing w:after="240" w:befor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The goal of the conference is to consolidate the regional community in the emerging area of computational communication research and contribute to its closer integration with the global community of computational communication scholars, both within and beyond current ICA membership.</w:t>
      </w:r>
    </w:p>
    <w:p w:rsidR="00000000" w:rsidDel="00000000" w:rsidP="00000000" w:rsidRDefault="00000000" w:rsidRPr="00000000" w14:paraId="00000008">
      <w:pPr>
        <w:spacing w:after="240" w:befor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ICA President </w:t>
      </w:r>
      <w:hyperlink r:id="rId12">
        <w:r w:rsidDel="00000000" w:rsidR="00000000" w:rsidRPr="00000000">
          <w:rPr>
            <w:rFonts w:ascii="Arial" w:cs="Arial" w:eastAsia="Arial" w:hAnsi="Arial"/>
            <w:color w:val="1155cc"/>
            <w:sz w:val="21"/>
            <w:szCs w:val="21"/>
            <w:u w:val="single"/>
            <w:rtl w:val="0"/>
          </w:rPr>
          <w:t xml:space="preserve">Noshir Contractor</w:t>
        </w:r>
      </w:hyperlink>
      <w:r w:rsidDel="00000000" w:rsidR="00000000" w:rsidRPr="00000000">
        <w:rPr>
          <w:rFonts w:ascii="Arial" w:cs="Arial" w:eastAsia="Arial" w:hAnsi="Arial"/>
          <w:sz w:val="21"/>
          <w:szCs w:val="21"/>
          <w:rtl w:val="0"/>
        </w:rPr>
        <w:t xml:space="preserve">, as well as</w:t>
      </w:r>
      <w:hyperlink r:id="rId13">
        <w:r w:rsidDel="00000000" w:rsidR="00000000" w:rsidRPr="00000000">
          <w:rPr>
            <w:rFonts w:ascii="Arial" w:cs="Arial" w:eastAsia="Arial" w:hAnsi="Arial"/>
            <w:sz w:val="21"/>
            <w:szCs w:val="21"/>
            <w:rtl w:val="0"/>
          </w:rPr>
          <w:t xml:space="preserve"> </w:t>
        </w:r>
      </w:hyperlink>
      <w:hyperlink r:id="rId14">
        <w:r w:rsidDel="00000000" w:rsidR="00000000" w:rsidRPr="00000000">
          <w:rPr>
            <w:rFonts w:ascii="Arial" w:cs="Arial" w:eastAsia="Arial" w:hAnsi="Arial"/>
            <w:color w:val="1155cc"/>
            <w:sz w:val="21"/>
            <w:szCs w:val="21"/>
            <w:u w:val="single"/>
            <w:rtl w:val="0"/>
          </w:rPr>
          <w:t xml:space="preserve">Claes de Vreese</w:t>
        </w:r>
      </w:hyperlink>
      <w:r w:rsidDel="00000000" w:rsidR="00000000" w:rsidRPr="00000000">
        <w:rPr>
          <w:rFonts w:ascii="Arial" w:cs="Arial" w:eastAsia="Arial" w:hAnsi="Arial"/>
          <w:sz w:val="21"/>
          <w:szCs w:val="21"/>
          <w:rtl w:val="0"/>
        </w:rPr>
        <w:t xml:space="preserve">,</w:t>
      </w:r>
      <w:hyperlink r:id="rId15">
        <w:r w:rsidDel="00000000" w:rsidR="00000000" w:rsidRPr="00000000">
          <w:rPr>
            <w:rFonts w:ascii="Arial" w:cs="Arial" w:eastAsia="Arial" w:hAnsi="Arial"/>
            <w:sz w:val="21"/>
            <w:szCs w:val="21"/>
            <w:rtl w:val="0"/>
          </w:rPr>
          <w:t xml:space="preserve"> </w:t>
        </w:r>
      </w:hyperlink>
      <w:hyperlink r:id="rId16">
        <w:r w:rsidDel="00000000" w:rsidR="00000000" w:rsidRPr="00000000">
          <w:rPr>
            <w:rFonts w:ascii="Arial" w:cs="Arial" w:eastAsia="Arial" w:hAnsi="Arial"/>
            <w:color w:val="1155cc"/>
            <w:sz w:val="21"/>
            <w:szCs w:val="21"/>
            <w:u w:val="single"/>
            <w:rtl w:val="0"/>
          </w:rPr>
          <w:t xml:space="preserve">Richard Ling</w:t>
        </w:r>
      </w:hyperlink>
      <w:r w:rsidDel="00000000" w:rsidR="00000000" w:rsidRPr="00000000">
        <w:rPr>
          <w:rFonts w:ascii="Arial" w:cs="Arial" w:eastAsia="Arial" w:hAnsi="Arial"/>
          <w:sz w:val="21"/>
          <w:szCs w:val="21"/>
          <w:rtl w:val="0"/>
        </w:rPr>
        <w:t xml:space="preserve">, and</w:t>
      </w:r>
      <w:hyperlink r:id="rId17">
        <w:r w:rsidDel="00000000" w:rsidR="00000000" w:rsidRPr="00000000">
          <w:rPr>
            <w:rFonts w:ascii="Arial" w:cs="Arial" w:eastAsia="Arial" w:hAnsi="Arial"/>
            <w:sz w:val="21"/>
            <w:szCs w:val="21"/>
            <w:rtl w:val="0"/>
          </w:rPr>
          <w:t xml:space="preserve"> </w:t>
        </w:r>
      </w:hyperlink>
      <w:hyperlink r:id="rId18">
        <w:r w:rsidDel="00000000" w:rsidR="00000000" w:rsidRPr="00000000">
          <w:rPr>
            <w:rFonts w:ascii="Arial" w:cs="Arial" w:eastAsia="Arial" w:hAnsi="Arial"/>
            <w:color w:val="1155cc"/>
            <w:sz w:val="21"/>
            <w:szCs w:val="21"/>
            <w:u w:val="single"/>
            <w:rtl w:val="0"/>
          </w:rPr>
          <w:t xml:space="preserve">Markus Strohmaier</w:t>
        </w:r>
      </w:hyperlink>
      <w:r w:rsidDel="00000000" w:rsidR="00000000" w:rsidRPr="00000000">
        <w:rPr>
          <w:rFonts w:ascii="Arial" w:cs="Arial" w:eastAsia="Arial" w:hAnsi="Arial"/>
          <w:sz w:val="21"/>
          <w:szCs w:val="21"/>
          <w:rtl w:val="0"/>
        </w:rPr>
        <w:t xml:space="preserve"> will deliver keynote speeches at the three-day event.</w:t>
      </w:r>
    </w:p>
    <w:p w:rsidR="00000000" w:rsidDel="00000000" w:rsidP="00000000" w:rsidRDefault="00000000" w:rsidRPr="00000000" w14:paraId="00000009">
      <w:pPr>
        <w:spacing w:after="240" w:befor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Conference paper abstracts of 400 to 700 words are invited by </w:t>
      </w:r>
      <w:r w:rsidDel="00000000" w:rsidR="00000000" w:rsidRPr="00000000">
        <w:rPr>
          <w:rFonts w:ascii="Arial" w:cs="Arial" w:eastAsia="Arial" w:hAnsi="Arial"/>
          <w:b w:val="1"/>
          <w:sz w:val="21"/>
          <w:szCs w:val="21"/>
          <w:rtl w:val="0"/>
        </w:rPr>
        <w:t xml:space="preserve">December 25, 2021 </w:t>
      </w:r>
      <w:r w:rsidDel="00000000" w:rsidR="00000000" w:rsidRPr="00000000">
        <w:rPr>
          <w:rFonts w:ascii="Arial" w:cs="Arial" w:eastAsia="Arial" w:hAnsi="Arial"/>
          <w:sz w:val="21"/>
          <w:szCs w:val="21"/>
          <w:rtl w:val="0"/>
        </w:rPr>
        <w:t xml:space="preserve">via EasyChair at </w:t>
      </w:r>
      <w:hyperlink r:id="rId19">
        <w:r w:rsidDel="00000000" w:rsidR="00000000" w:rsidRPr="00000000">
          <w:rPr>
            <w:rFonts w:ascii="Arial" w:cs="Arial" w:eastAsia="Arial" w:hAnsi="Arial"/>
            <w:color w:val="1155cc"/>
            <w:sz w:val="21"/>
            <w:szCs w:val="21"/>
            <w:u w:val="single"/>
            <w:rtl w:val="0"/>
          </w:rPr>
          <w:t xml:space="preserve">this link</w:t>
        </w:r>
      </w:hyperlink>
      <w:r w:rsidDel="00000000" w:rsidR="00000000" w:rsidRPr="00000000">
        <w:rPr>
          <w:rFonts w:ascii="Arial" w:cs="Arial" w:eastAsia="Arial" w:hAnsi="Arial"/>
          <w:sz w:val="21"/>
          <w:szCs w:val="21"/>
          <w:rtl w:val="0"/>
        </w:rPr>
        <w:t xml:space="preserve">. Abstracts must clearly describe the central question of the study, data and methodological approach to their analysis, as well the wider implications of the expected results and their relevance to human communication research. Although it is not mandatory, we encourage submissions that include links to datasets and code used in the analysis.</w:t>
      </w:r>
    </w:p>
    <w:p w:rsidR="00000000" w:rsidDel="00000000" w:rsidP="00000000" w:rsidRDefault="00000000" w:rsidRPr="00000000" w14:paraId="0000000A">
      <w:pPr>
        <w:numPr>
          <w:ilvl w:val="0"/>
          <w:numId w:val="1"/>
        </w:numPr>
        <w:spacing w:after="0" w:afterAutospacing="0" w:before="240" w:lineRule="auto"/>
        <w:ind w:left="720" w:hanging="360"/>
        <w:jc w:val="both"/>
        <w:rPr>
          <w:rFonts w:ascii="Arial" w:cs="Arial" w:eastAsia="Arial" w:hAnsi="Arial"/>
          <w:sz w:val="21"/>
          <w:szCs w:val="21"/>
          <w:u w:val="none"/>
        </w:rPr>
      </w:pPr>
      <w:r w:rsidDel="00000000" w:rsidR="00000000" w:rsidRPr="00000000">
        <w:rPr>
          <w:rFonts w:ascii="Arial" w:cs="Arial" w:eastAsia="Arial" w:hAnsi="Arial"/>
          <w:sz w:val="21"/>
          <w:szCs w:val="21"/>
          <w:rtl w:val="0"/>
        </w:rPr>
        <w:t xml:space="preserve">The conference will welcome research focused on, but not limited to research areas such as diffusion and effects of (mis)information, structure and dynamics of online communities, text communication, the effects of the COVID pandemic on communication processes, political communication online, detection of algorithmic biases and hate speech. Studies do not necessarily have to focus on Central and Eastern Europe.  </w:t>
      </w:r>
    </w:p>
    <w:p w:rsidR="00000000" w:rsidDel="00000000" w:rsidP="00000000" w:rsidRDefault="00000000" w:rsidRPr="00000000" w14:paraId="0000000B">
      <w:pPr>
        <w:numPr>
          <w:ilvl w:val="0"/>
          <w:numId w:val="1"/>
        </w:numPr>
        <w:spacing w:after="0" w:afterAutospacing="0" w:before="0" w:beforeAutospacing="0" w:lineRule="auto"/>
        <w:ind w:left="720" w:hanging="360"/>
        <w:jc w:val="both"/>
        <w:rPr>
          <w:rFonts w:ascii="Arial" w:cs="Arial" w:eastAsia="Arial" w:hAnsi="Arial"/>
          <w:sz w:val="21"/>
          <w:szCs w:val="21"/>
          <w:u w:val="none"/>
        </w:rPr>
      </w:pPr>
      <w:r w:rsidDel="00000000" w:rsidR="00000000" w:rsidRPr="00000000">
        <w:rPr>
          <w:rFonts w:ascii="Arial" w:cs="Arial" w:eastAsia="Arial" w:hAnsi="Arial"/>
          <w:sz w:val="21"/>
          <w:szCs w:val="21"/>
          <w:rtl w:val="0"/>
        </w:rPr>
        <w:t xml:space="preserve">We encourage submissions of papers employing a wide range of computational approaches and representing interdisciplinary fields that address communication-related questions.</w:t>
      </w:r>
    </w:p>
    <w:p w:rsidR="00000000" w:rsidDel="00000000" w:rsidP="00000000" w:rsidRDefault="00000000" w:rsidRPr="00000000" w14:paraId="0000000C">
      <w:pPr>
        <w:numPr>
          <w:ilvl w:val="0"/>
          <w:numId w:val="1"/>
        </w:numPr>
        <w:spacing w:after="240" w:before="0" w:beforeAutospacing="0" w:lineRule="auto"/>
        <w:ind w:left="720" w:hanging="360"/>
        <w:jc w:val="both"/>
        <w:rPr>
          <w:rFonts w:ascii="Arial" w:cs="Arial" w:eastAsia="Arial" w:hAnsi="Arial"/>
          <w:sz w:val="21"/>
          <w:szCs w:val="21"/>
          <w:u w:val="none"/>
        </w:rPr>
      </w:pPr>
      <w:r w:rsidDel="00000000" w:rsidR="00000000" w:rsidRPr="00000000">
        <w:rPr>
          <w:rFonts w:ascii="Arial" w:cs="Arial" w:eastAsia="Arial" w:hAnsi="Arial"/>
          <w:sz w:val="21"/>
          <w:szCs w:val="21"/>
          <w:rtl w:val="0"/>
        </w:rPr>
        <w:t xml:space="preserve">Please note that we will not accept computational studies unrelated to human communication, those limited solely to computer science, or any communication research that does not employ advanced computation with either big or complexly structured data.</w:t>
      </w:r>
    </w:p>
    <w:p w:rsidR="00000000" w:rsidDel="00000000" w:rsidP="00000000" w:rsidRDefault="00000000" w:rsidRPr="00000000" w14:paraId="0000000D">
      <w:pPr>
        <w:spacing w:after="240" w:befor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Acceptance/rejection decisions will be communicated to the submitters by </w:t>
      </w:r>
      <w:r w:rsidDel="00000000" w:rsidR="00000000" w:rsidRPr="00000000">
        <w:rPr>
          <w:rFonts w:ascii="Arial" w:cs="Arial" w:eastAsia="Arial" w:hAnsi="Arial"/>
          <w:b w:val="1"/>
          <w:sz w:val="21"/>
          <w:szCs w:val="21"/>
          <w:rtl w:val="0"/>
        </w:rPr>
        <w:t xml:space="preserve">January 25, 2022</w:t>
      </w:r>
      <w:r w:rsidDel="00000000" w:rsidR="00000000" w:rsidRPr="00000000">
        <w:rPr>
          <w:rFonts w:ascii="Arial" w:cs="Arial" w:eastAsia="Arial" w:hAnsi="Arial"/>
          <w:sz w:val="21"/>
          <w:szCs w:val="21"/>
          <w:rtl w:val="0"/>
        </w:rPr>
        <w:t xml:space="preserve">. The format of the conference will be determined no later than </w:t>
      </w:r>
      <w:r w:rsidDel="00000000" w:rsidR="00000000" w:rsidRPr="00000000">
        <w:rPr>
          <w:rFonts w:ascii="Arial" w:cs="Arial" w:eastAsia="Arial" w:hAnsi="Arial"/>
          <w:b w:val="1"/>
          <w:sz w:val="21"/>
          <w:szCs w:val="21"/>
          <w:rtl w:val="0"/>
        </w:rPr>
        <w:t xml:space="preserve">March 15, 2022</w:t>
      </w:r>
      <w:r w:rsidDel="00000000" w:rsidR="00000000" w:rsidRPr="00000000">
        <w:rPr>
          <w:rFonts w:ascii="Arial" w:cs="Arial" w:eastAsia="Arial" w:hAnsi="Arial"/>
          <w:sz w:val="21"/>
          <w:szCs w:val="21"/>
          <w:rtl w:val="0"/>
        </w:rPr>
        <w:t xml:space="preserve">, the day when online registration opens.</w:t>
      </w:r>
    </w:p>
    <w:p w:rsidR="00000000" w:rsidDel="00000000" w:rsidP="00000000" w:rsidRDefault="00000000" w:rsidRPr="00000000" w14:paraId="0000000E">
      <w:pPr>
        <w:spacing w:after="240" w:befor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Offline registration rates vary by the tier of the applicant’s country of residence in accordance with the</w:t>
      </w:r>
      <w:hyperlink r:id="rId20">
        <w:r w:rsidDel="00000000" w:rsidR="00000000" w:rsidRPr="00000000">
          <w:rPr>
            <w:rFonts w:ascii="Arial" w:cs="Arial" w:eastAsia="Arial" w:hAnsi="Arial"/>
            <w:sz w:val="21"/>
            <w:szCs w:val="21"/>
            <w:rtl w:val="0"/>
          </w:rPr>
          <w:t xml:space="preserve"> </w:t>
        </w:r>
      </w:hyperlink>
      <w:hyperlink r:id="rId21">
        <w:r w:rsidDel="00000000" w:rsidR="00000000" w:rsidRPr="00000000">
          <w:rPr>
            <w:rFonts w:ascii="Arial" w:cs="Arial" w:eastAsia="Arial" w:hAnsi="Arial"/>
            <w:color w:val="1155cc"/>
            <w:sz w:val="21"/>
            <w:szCs w:val="21"/>
            <w:u w:val="single"/>
            <w:rtl w:val="0"/>
          </w:rPr>
          <w:t xml:space="preserve">World Bank’s Gross National Income tier structure</w:t>
        </w:r>
      </w:hyperlink>
      <w:r w:rsidDel="00000000" w:rsidR="00000000" w:rsidRPr="00000000">
        <w:rPr>
          <w:rFonts w:ascii="Arial" w:cs="Arial" w:eastAsia="Arial" w:hAnsi="Arial"/>
          <w:sz w:val="21"/>
          <w:szCs w:val="21"/>
          <w:rtl w:val="0"/>
        </w:rPr>
        <w:t xml:space="preserve">. Tier 1 fee is $60, Tier 2 fee is $40, Tier 3 fee is $20. Merit-based fee waivers will be available for graduate students and early career scholars from CEE countries. Should the conference proceed in online format, participation fees will be lowered accordingly.</w:t>
      </w:r>
    </w:p>
    <w:p w:rsidR="00000000" w:rsidDel="00000000" w:rsidP="00000000" w:rsidRDefault="00000000" w:rsidRPr="00000000" w14:paraId="0000000F">
      <w:pPr>
        <w:spacing w:after="240" w:before="240" w:lineRule="auto"/>
        <w:jc w:val="both"/>
        <w:rPr>
          <w:rFonts w:ascii="Arial" w:cs="Arial" w:eastAsia="Arial" w:hAnsi="Arial"/>
          <w:color w:val="1155cc"/>
          <w:sz w:val="21"/>
          <w:szCs w:val="21"/>
          <w:u w:val="single"/>
        </w:rPr>
      </w:pPr>
      <w:r w:rsidDel="00000000" w:rsidR="00000000" w:rsidRPr="00000000">
        <w:rPr>
          <w:rFonts w:ascii="Arial" w:cs="Arial" w:eastAsia="Arial" w:hAnsi="Arial"/>
          <w:sz w:val="21"/>
          <w:szCs w:val="21"/>
          <w:rtl w:val="0"/>
        </w:rPr>
        <w:t xml:space="preserve">For further information on the conference and timely updates, please visit</w:t>
      </w:r>
      <w:hyperlink r:id="rId22">
        <w:r w:rsidDel="00000000" w:rsidR="00000000" w:rsidRPr="00000000">
          <w:rPr>
            <w:rFonts w:ascii="Arial" w:cs="Arial" w:eastAsia="Arial" w:hAnsi="Arial"/>
            <w:sz w:val="21"/>
            <w:szCs w:val="21"/>
            <w:rtl w:val="0"/>
          </w:rPr>
          <w:t xml:space="preserve"> </w:t>
        </w:r>
      </w:hyperlink>
      <w:hyperlink r:id="rId23">
        <w:r w:rsidDel="00000000" w:rsidR="00000000" w:rsidRPr="00000000">
          <w:rPr>
            <w:rFonts w:ascii="Arial" w:cs="Arial" w:eastAsia="Arial" w:hAnsi="Arial"/>
            <w:color w:val="1155cc"/>
            <w:sz w:val="21"/>
            <w:szCs w:val="21"/>
            <w:u w:val="single"/>
            <w:rtl w:val="0"/>
          </w:rPr>
          <w:t xml:space="preserve">https://hse-scila.github.io/ica-conference/</w:t>
        </w:r>
      </w:hyperlink>
      <w:r w:rsidDel="00000000" w:rsidR="00000000" w:rsidRPr="00000000">
        <w:rPr>
          <w:rtl w:val="0"/>
        </w:rPr>
      </w:r>
    </w:p>
    <w:p w:rsidR="00000000" w:rsidDel="00000000" w:rsidP="00000000" w:rsidRDefault="00000000" w:rsidRPr="00000000" w14:paraId="00000010">
      <w:pPr>
        <w:spacing w:after="240" w:before="240" w:lineRule="auto"/>
        <w:jc w:val="both"/>
        <w:rPr/>
      </w:pPr>
      <w:r w:rsidDel="00000000" w:rsidR="00000000" w:rsidRPr="00000000">
        <w:rPr>
          <w:rFonts w:ascii="Arial" w:cs="Arial" w:eastAsia="Arial" w:hAnsi="Arial"/>
          <w:sz w:val="21"/>
          <w:szCs w:val="21"/>
          <w:rtl w:val="0"/>
        </w:rPr>
        <w:t xml:space="preserve">For any queries, contact Kirill Bryanov at </w:t>
      </w:r>
      <w:hyperlink r:id="rId24">
        <w:r w:rsidDel="00000000" w:rsidR="00000000" w:rsidRPr="00000000">
          <w:rPr>
            <w:rFonts w:ascii="Arial" w:cs="Arial" w:eastAsia="Arial" w:hAnsi="Arial"/>
            <w:color w:val="1155cc"/>
            <w:sz w:val="21"/>
            <w:szCs w:val="21"/>
            <w:u w:val="single"/>
            <w:rtl w:val="0"/>
          </w:rPr>
          <w:t xml:space="preserve">kbryanov@hse.ru</w:t>
        </w:r>
      </w:hyperlink>
      <w:r w:rsidDel="00000000" w:rsidR="00000000" w:rsidRPr="00000000">
        <w:rPr>
          <w:rFonts w:ascii="Arial" w:cs="Arial" w:eastAsia="Arial" w:hAnsi="Arial"/>
          <w:sz w:val="21"/>
          <w:szCs w:val="21"/>
          <w:rtl w:val="0"/>
        </w:rPr>
        <w:t xml:space="preserve"> </w:t>
      </w:r>
      <w:r w:rsidDel="00000000" w:rsidR="00000000" w:rsidRPr="00000000">
        <w:rPr>
          <w:rtl w:val="0"/>
        </w:rPr>
      </w:r>
    </w:p>
    <w:sectPr>
      <w:pgSz w:h="15840" w:w="12240"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bidi w:val="0"/>
    </w:pPr>
    <w:rPr>
      <w:rFonts w:ascii="Liberation Serif" w:cs="Droid Sans Devanagari" w:eastAsia="Droid Sans Fallback" w:hAnsi="Liberation Serif"/>
      <w:color w:val="auto"/>
      <w:kern w:val="2"/>
      <w:sz w:val="24"/>
      <w:szCs w:val="24"/>
      <w:lang w:bidi="hi-IN" w:eastAsia="zh-CN" w:val="en-US"/>
    </w:rPr>
  </w:style>
  <w:style w:type="paragraph" w:styleId="Heading">
    <w:name w:val="Heading"/>
    <w:basedOn w:val="Normal"/>
    <w:next w:val="TextBody"/>
    <w:qFormat w:val="1"/>
    <w:pPr>
      <w:keepNext w:val="1"/>
      <w:spacing w:after="120" w:before="240"/>
    </w:pPr>
    <w:rPr>
      <w:rFonts w:ascii="Liberation Sans" w:cs="Droid Sans Devanagari" w:eastAsia="Droid Sans Fallback"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Droid Sans Devanagari"/>
    </w:rPr>
  </w:style>
  <w:style w:type="paragraph" w:styleId="Caption">
    <w:name w:val="Caption"/>
    <w:basedOn w:val="Normal"/>
    <w:qFormat w:val="1"/>
    <w:pPr>
      <w:suppressLineNumbers w:val="1"/>
      <w:spacing w:after="120" w:before="120"/>
    </w:pPr>
    <w:rPr>
      <w:rFonts w:cs="Droid Sans Devanagari"/>
      <w:i w:val="1"/>
      <w:iCs w:val="1"/>
      <w:sz w:val="24"/>
      <w:szCs w:val="24"/>
    </w:rPr>
  </w:style>
  <w:style w:type="paragraph" w:styleId="Index">
    <w:name w:val="Index"/>
    <w:basedOn w:val="Normal"/>
    <w:qFormat w:val="1"/>
    <w:pPr>
      <w:suppressLineNumbers w:val="1"/>
    </w:pPr>
    <w:rPr>
      <w:rFonts w:cs="Droid Sans Devanagari"/>
      <w:lang w:bidi="zxx" w:eastAsia="zxx" w:val="zx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hse-scila.github.io/ems-scs-2021/tiers.html" TargetMode="External"/><Relationship Id="rId11" Type="http://schemas.openxmlformats.org/officeDocument/2006/relationships/hyperlink" Target="https://www.hse.ru/en/" TargetMode="External"/><Relationship Id="rId22" Type="http://schemas.openxmlformats.org/officeDocument/2006/relationships/hyperlink" Target="https://hse-scila.github.io/ica-conference/" TargetMode="External"/><Relationship Id="rId10" Type="http://schemas.openxmlformats.org/officeDocument/2006/relationships/hyperlink" Target="https://www.hse.ru/en/" TargetMode="External"/><Relationship Id="rId21" Type="http://schemas.openxmlformats.org/officeDocument/2006/relationships/hyperlink" Target="https://hse-scila.github.io/ems-scs-2021/tiers.html" TargetMode="External"/><Relationship Id="rId13" Type="http://schemas.openxmlformats.org/officeDocument/2006/relationships/hyperlink" Target="https://nosh.northwestern.edu/" TargetMode="External"/><Relationship Id="rId24" Type="http://schemas.openxmlformats.org/officeDocument/2006/relationships/hyperlink" Target="mailto:kbryanov@hse.ru" TargetMode="External"/><Relationship Id="rId12" Type="http://schemas.openxmlformats.org/officeDocument/2006/relationships/hyperlink" Target="https://nosh.northwestern.edu/" TargetMode="External"/><Relationship Id="rId23" Type="http://schemas.openxmlformats.org/officeDocument/2006/relationships/hyperlink" Target="https://hse-scila.github.io/ica-conferenc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cila.hse.ru/en/" TargetMode="External"/><Relationship Id="rId15" Type="http://schemas.openxmlformats.org/officeDocument/2006/relationships/hyperlink" Target="https://blogs.ntu.edu.sg/dh/richard-seyler-ling/" TargetMode="External"/><Relationship Id="rId14" Type="http://schemas.openxmlformats.org/officeDocument/2006/relationships/hyperlink" Target="https://nosh.northwestern.edu/" TargetMode="External"/><Relationship Id="rId17" Type="http://schemas.openxmlformats.org/officeDocument/2006/relationships/hyperlink" Target="http://markusstrohmaier.info/" TargetMode="External"/><Relationship Id="rId16" Type="http://schemas.openxmlformats.org/officeDocument/2006/relationships/hyperlink" Target="https://blogs.ntu.edu.sg/dh/richard-seyler-ling/" TargetMode="External"/><Relationship Id="rId5" Type="http://schemas.openxmlformats.org/officeDocument/2006/relationships/styles" Target="styles.xml"/><Relationship Id="rId19" Type="http://schemas.openxmlformats.org/officeDocument/2006/relationships/hyperlink" Target="https://easychair.org/conferences/?conf=ica2022regionalconfe" TargetMode="External"/><Relationship Id="rId6" Type="http://schemas.openxmlformats.org/officeDocument/2006/relationships/customXml" Target="../customXML/item1.xml"/><Relationship Id="rId18" Type="http://schemas.openxmlformats.org/officeDocument/2006/relationships/hyperlink" Target="http://markusstrohmaier.info/" TargetMode="External"/><Relationship Id="rId7" Type="http://schemas.openxmlformats.org/officeDocument/2006/relationships/hyperlink" Target="https://hse-scila.github.io/ica-conference/" TargetMode="External"/><Relationship Id="rId8" Type="http://schemas.openxmlformats.org/officeDocument/2006/relationships/hyperlink" Target="https://scila.hse.ru/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fJkH8aLv75HAAc9Jz6FsD50NNw==">AMUW2mVninybvPDrOsuLqF4VaYfdqe8yu2vEHQEMc3O/7v20zNvluAf1ExJFa5pLzzAkOxXUU301ZdxKM5AciVcuQ9kQSHNnb9BM1DxF2uOSRq0QYiQXdZQ=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2021-09-03T16:52:07Z</dcterms:created>
  <dc:creator>Maksim Terpilowski</dc:creator>
</cp:coreProperties>
</file>